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32FC" w:rsidRPr="00262B2A" w:rsidRDefault="009B32FC" w:rsidP="009B32FC">
      <w:pPr>
        <w:rPr>
          <w:rFonts w:ascii="Arial" w:hAnsi="Arial" w:cs="Arial"/>
          <w:b/>
          <w:bCs/>
        </w:rPr>
      </w:pPr>
    </w:p>
    <w:p w:rsidR="00D613C0" w:rsidRDefault="009B32FC" w:rsidP="009B32FC">
      <w:pPr>
        <w:rPr>
          <w:rFonts w:ascii="Arial" w:hAnsi="Arial" w:cs="Arial"/>
          <w:b/>
          <w:bCs/>
        </w:rPr>
      </w:pPr>
      <w:r w:rsidRPr="00262B2A">
        <w:rPr>
          <w:rFonts w:ascii="Arial" w:hAnsi="Arial" w:cs="Arial"/>
          <w:b/>
          <w:bCs/>
        </w:rPr>
        <w:t xml:space="preserve">Titolo </w:t>
      </w:r>
    </w:p>
    <w:p w:rsidR="000339FE" w:rsidRDefault="000339FE" w:rsidP="000339FE">
      <w:pPr>
        <w:pStyle w:val="NormaleWeb"/>
      </w:pPr>
      <w:r>
        <w:t xml:space="preserve">Elementi comuni degli interventi per prevenire la violenza verso le donne e verso l’infanzia </w:t>
      </w:r>
    </w:p>
    <w:tbl>
      <w:tblPr>
        <w:tblW w:w="10573" w:type="dxa"/>
        <w:jc w:val="center"/>
        <w:tblBorders>
          <w:top w:val="single" w:sz="6" w:space="0" w:color="007C86"/>
          <w:bottom w:val="single" w:sz="6" w:space="0" w:color="007C86"/>
          <w:insideH w:val="single" w:sz="6" w:space="0" w:color="007C86"/>
          <w:insideV w:val="single" w:sz="6" w:space="0" w:color="007C86"/>
        </w:tblBorders>
        <w:tblLook w:val="01E0" w:firstRow="1" w:lastRow="1" w:firstColumn="1" w:lastColumn="1" w:noHBand="0" w:noVBand="0"/>
      </w:tblPr>
      <w:tblGrid>
        <w:gridCol w:w="2268"/>
        <w:gridCol w:w="61"/>
        <w:gridCol w:w="8244"/>
      </w:tblGrid>
      <w:tr w:rsidR="009B32FC" w:rsidRPr="00262B2A" w:rsidTr="006851A6">
        <w:trPr>
          <w:jc w:val="center"/>
        </w:trPr>
        <w:tc>
          <w:tcPr>
            <w:tcW w:w="2329" w:type="dxa"/>
            <w:gridSpan w:val="2"/>
            <w:tcBorders>
              <w:top w:val="nil"/>
              <w:left w:val="nil"/>
              <w:bottom w:val="single" w:sz="6" w:space="0" w:color="007C86"/>
              <w:right w:val="nil"/>
            </w:tcBorders>
            <w:hideMark/>
          </w:tcPr>
          <w:p w:rsidR="009B32FC" w:rsidRPr="00262B2A" w:rsidRDefault="00C558BA">
            <w:pPr>
              <w:rPr>
                <w:rFonts w:ascii="Arial" w:hAnsi="Arial" w:cs="Arial"/>
                <w:b/>
              </w:rPr>
            </w:pPr>
            <w:r>
              <w:rPr>
                <w:rFonts w:ascii="Arial" w:hAnsi="Arial" w:cs="Arial"/>
                <w:noProof/>
                <w:lang w:eastAsia="it-IT"/>
              </w:rPr>
              <mc:AlternateContent>
                <mc:Choice Requires="wps">
                  <w:drawing>
                    <wp:anchor distT="4294967295" distB="4294967295" distL="114300" distR="114300" simplePos="0" relativeHeight="251658240" behindDoc="0" locked="0" layoutInCell="1" allowOverlap="1">
                      <wp:simplePos x="0" y="0"/>
                      <wp:positionH relativeFrom="column">
                        <wp:posOffset>0</wp:posOffset>
                      </wp:positionH>
                      <wp:positionV relativeFrom="paragraph">
                        <wp:posOffset>7619</wp:posOffset>
                      </wp:positionV>
                      <wp:extent cx="7429500" cy="0"/>
                      <wp:effectExtent l="0" t="19050" r="0" b="0"/>
                      <wp:wrapNone/>
                      <wp:docPr id="2" name="Connettore dirit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429500" cy="0"/>
                              </a:xfrm>
                              <a:prstGeom prst="line">
                                <a:avLst/>
                              </a:prstGeom>
                              <a:noFill/>
                              <a:ln w="28575">
                                <a:solidFill>
                                  <a:srgbClr val="00808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332CB1D" id="Connettore diritto 2" o:spid="_x0000_s1026" style="position:absolute;flip:y;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pt" to="58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coF0QEAAIIDAAAOAAAAZHJzL2Uyb0RvYy54bWysU8Fu2zAMvQ/YPwi6L3aCZc2MOD2k6y7d&#10;FqDd7owkx8JkUaCUOPn7UUqadtttGAwQpEg+ko/08vY4OHEwFC36Vk4ntRTGK9TW71r5/en+3UKK&#10;mMBrcOhNK08mytvV2zfLMTRmhj06bUgwiI/NGFrZpxSaqoqqNwPECQbj2dkhDZDYpF2lCUZGH1w1&#10;q+sP1YikA6EyMfLr3dkpVwW/64xK37oumiRcK7m3VCQVuc2yWi2h2RGE3qpLG/APXQxgPRe9Qt1B&#10;ArEn+xfUYBVhxC5NFA4Vdp1VpszA00zrP6Z57CGYMguTE8OVpvj/YNXXw4aE1a2cSeFh4BWt0XuT&#10;EpIR2pJlTcwyT2OIDYev/YbypOroH8MDqp9ReFz34Hem9Pt0CgwyzRnVbynZiIGrbccvqDkG9gkL&#10;aceOBtE5G37kxAzOxIhj2dLpuiVzTELx48372cd5zctUz74KmgyREwPF9NngILLSSmd9JhAaODzE&#10;lFt6CcnPHu+tc+UInBcjs7CY38xLRkRndfbmuEi77dqROEC+o3rBXxmQPa/DCPdeF7TegP500RNY&#10;d9a5uvMXXjIVZ1K3qE8beuaLF13avBxlvqTXdsl++XVWvwAAAP//AwBQSwMEFAAGAAgAAAAhAHPB&#10;cxvZAAAABQEAAA8AAABkcnMvZG93bnJldi54bWxMj01PwzAMhu9I+w+RJ3FjySrBUNd0YpM48VGx&#10;Ic5Z47UVjVM1Wdv9ezwucPTzWq8fZ5vJtWLAPjSeNCwXCgRS6W1DlYbPw/PdI4gQDVnTekINFwyw&#10;yWc3mUmtH+kDh32sBJdQSI2GOsYulTKUNToTFr5D4uzke2cij30lbW9GLnetTJR6kM40xBdq0+Gu&#10;xvJ7f3Ya5Pby8qreDn58XxVquA/FV2ILrW/n09MaRMQp/i3DVZ/VIWenoz+TDaLVwI9EpgmIa7hc&#10;KQbHXyDzTP63z38AAAD//wMAUEsBAi0AFAAGAAgAAAAhALaDOJL+AAAA4QEAABMAAAAAAAAAAAAA&#10;AAAAAAAAAFtDb250ZW50X1R5cGVzXS54bWxQSwECLQAUAAYACAAAACEAOP0h/9YAAACUAQAACwAA&#10;AAAAAAAAAAAAAAAvAQAAX3JlbHMvLnJlbHNQSwECLQAUAAYACAAAACEAzQXKBdEBAACCAwAADgAA&#10;AAAAAAAAAAAAAAAuAgAAZHJzL2Uyb0RvYy54bWxQSwECLQAUAAYACAAAACEAc8FzG9kAAAAFAQAA&#10;DwAAAAAAAAAAAAAAAAArBAAAZHJzL2Rvd25yZXYueG1sUEsFBgAAAAAEAAQA8wAAADEFAAAAAA==&#10;" strokecolor="teal" strokeweight="2.25pt"/>
                  </w:pict>
                </mc:Fallback>
              </mc:AlternateContent>
            </w:r>
            <w:r w:rsidR="009B32FC" w:rsidRPr="00262B2A">
              <w:rPr>
                <w:rFonts w:ascii="Arial" w:hAnsi="Arial" w:cs="Arial"/>
                <w:b/>
              </w:rPr>
              <w:t>Domanda di ricerca</w:t>
            </w:r>
          </w:p>
        </w:tc>
        <w:tc>
          <w:tcPr>
            <w:tcW w:w="8244" w:type="dxa"/>
            <w:tcBorders>
              <w:top w:val="nil"/>
              <w:left w:val="nil"/>
              <w:bottom w:val="single" w:sz="6" w:space="0" w:color="007C86"/>
              <w:right w:val="nil"/>
            </w:tcBorders>
            <w:hideMark/>
          </w:tcPr>
          <w:p w:rsidR="009B32FC" w:rsidRPr="00262B2A" w:rsidRDefault="00574974" w:rsidP="009E1EDD">
            <w:pPr>
              <w:pStyle w:val="NormaleWeb"/>
              <w:rPr>
                <w:rFonts w:ascii="Arial" w:eastAsia="Arial Unicode MS" w:hAnsi="Arial" w:cs="Arial"/>
              </w:rPr>
            </w:pPr>
            <w:r>
              <w:t xml:space="preserve">Quali sono </w:t>
            </w:r>
            <w:r w:rsidR="000F5213">
              <w:t xml:space="preserve">le componenti e i meccanismi di intervento comuni </w:t>
            </w:r>
            <w:r>
              <w:t>che prevengono o rispondono all’IPV</w:t>
            </w:r>
            <w:r w:rsidR="001A3F9D">
              <w:t xml:space="preserve"> ((</w:t>
            </w:r>
            <w:r w:rsidR="001A3F9D" w:rsidRPr="001A3F9D">
              <w:rPr>
                <w:i/>
              </w:rPr>
              <w:t xml:space="preserve">Intimate Partner </w:t>
            </w:r>
            <w:proofErr w:type="spellStart"/>
            <w:r w:rsidR="001A3F9D" w:rsidRPr="001A3F9D">
              <w:rPr>
                <w:i/>
              </w:rPr>
              <w:t>Violence</w:t>
            </w:r>
            <w:proofErr w:type="spellEnd"/>
            <w:r w:rsidR="001A3F9D">
              <w:t xml:space="preserve">-Violenza da parte del partner intimo) </w:t>
            </w:r>
            <w:r>
              <w:t xml:space="preserve">contro le donne e alla </w:t>
            </w:r>
            <w:proofErr w:type="spellStart"/>
            <w:r>
              <w:t>Vac</w:t>
            </w:r>
            <w:proofErr w:type="spellEnd"/>
            <w:r>
              <w:t xml:space="preserve"> </w:t>
            </w:r>
            <w:r w:rsidR="001A3F9D">
              <w:t>(</w:t>
            </w:r>
            <w:proofErr w:type="spellStart"/>
            <w:r w:rsidR="001A3F9D" w:rsidRPr="001A3F9D">
              <w:rPr>
                <w:i/>
              </w:rPr>
              <w:t>Violence</w:t>
            </w:r>
            <w:proofErr w:type="spellEnd"/>
            <w:r w:rsidR="001A3F9D" w:rsidRPr="001A3F9D">
              <w:rPr>
                <w:i/>
              </w:rPr>
              <w:t xml:space="preserve"> </w:t>
            </w:r>
            <w:proofErr w:type="spellStart"/>
            <w:r w:rsidR="001A3F9D" w:rsidRPr="001A3F9D">
              <w:rPr>
                <w:i/>
              </w:rPr>
              <w:t>Against</w:t>
            </w:r>
            <w:proofErr w:type="spellEnd"/>
            <w:r w:rsidR="001A3F9D" w:rsidRPr="001A3F9D">
              <w:rPr>
                <w:i/>
              </w:rPr>
              <w:t xml:space="preserve"> </w:t>
            </w:r>
            <w:proofErr w:type="spellStart"/>
            <w:r w:rsidR="001A3F9D" w:rsidRPr="001A3F9D">
              <w:rPr>
                <w:i/>
              </w:rPr>
              <w:t>Children</w:t>
            </w:r>
            <w:proofErr w:type="spellEnd"/>
            <w:r w:rsidR="001A3F9D">
              <w:t xml:space="preserve">-Violenza sui bambini e le bambine) </w:t>
            </w:r>
            <w:r>
              <w:t xml:space="preserve">da parte di genitori e </w:t>
            </w:r>
            <w:proofErr w:type="spellStart"/>
            <w:r w:rsidRPr="001A3F9D">
              <w:rPr>
                <w:i/>
              </w:rPr>
              <w:t>caregiver</w:t>
            </w:r>
            <w:proofErr w:type="spellEnd"/>
            <w:r>
              <w:t xml:space="preserve"> e che possono aiutare a ridurre queste forme di violenza?</w:t>
            </w:r>
            <w:r w:rsidRPr="00262B2A">
              <w:rPr>
                <w:rFonts w:ascii="Arial" w:eastAsia="Arial Unicode MS" w:hAnsi="Arial" w:cs="Arial"/>
              </w:rPr>
              <w:t xml:space="preserve"> </w:t>
            </w:r>
          </w:p>
        </w:tc>
      </w:tr>
      <w:tr w:rsidR="00BD7F96" w:rsidRPr="00262B2A" w:rsidTr="006851A6">
        <w:trPr>
          <w:jc w:val="center"/>
        </w:trPr>
        <w:tc>
          <w:tcPr>
            <w:tcW w:w="2329" w:type="dxa"/>
            <w:gridSpan w:val="2"/>
            <w:tcBorders>
              <w:top w:val="nil"/>
              <w:left w:val="nil"/>
              <w:bottom w:val="single" w:sz="6" w:space="0" w:color="007C86"/>
              <w:right w:val="nil"/>
            </w:tcBorders>
            <w:hideMark/>
          </w:tcPr>
          <w:p w:rsidR="00BD7F96" w:rsidRPr="00262B2A" w:rsidRDefault="00BD7F96">
            <w:pPr>
              <w:rPr>
                <w:rFonts w:ascii="Arial" w:hAnsi="Arial" w:cs="Arial"/>
              </w:rPr>
            </w:pPr>
          </w:p>
        </w:tc>
        <w:tc>
          <w:tcPr>
            <w:tcW w:w="8244" w:type="dxa"/>
            <w:tcBorders>
              <w:top w:val="nil"/>
              <w:left w:val="nil"/>
              <w:bottom w:val="single" w:sz="6" w:space="0" w:color="007C86"/>
              <w:right w:val="nil"/>
            </w:tcBorders>
            <w:hideMark/>
          </w:tcPr>
          <w:p w:rsidR="00BD7F96" w:rsidRPr="00262B2A" w:rsidRDefault="00BD7F96">
            <w:pPr>
              <w:rPr>
                <w:rStyle w:val="rynqvb"/>
                <w:rFonts w:ascii="Arial" w:hAnsi="Arial" w:cs="Arial"/>
              </w:rPr>
            </w:pPr>
          </w:p>
        </w:tc>
      </w:tr>
      <w:tr w:rsidR="009B32FC" w:rsidRPr="00262B2A" w:rsidTr="006851A6">
        <w:trPr>
          <w:jc w:val="center"/>
        </w:trPr>
        <w:tc>
          <w:tcPr>
            <w:tcW w:w="2329" w:type="dxa"/>
            <w:gridSpan w:val="2"/>
            <w:tcBorders>
              <w:top w:val="single" w:sz="6" w:space="0" w:color="007C86"/>
              <w:left w:val="nil"/>
              <w:bottom w:val="single" w:sz="6" w:space="0" w:color="007C86"/>
              <w:right w:val="nil"/>
            </w:tcBorders>
          </w:tcPr>
          <w:p w:rsidR="009B32FC" w:rsidRPr="00262B2A" w:rsidRDefault="009B32FC">
            <w:pPr>
              <w:rPr>
                <w:rFonts w:ascii="Arial" w:hAnsi="Arial" w:cs="Arial"/>
              </w:rPr>
            </w:pPr>
            <w:r w:rsidRPr="00262B2A">
              <w:rPr>
                <w:rFonts w:ascii="Arial" w:hAnsi="Arial" w:cs="Arial"/>
                <w:b/>
              </w:rPr>
              <w:t>Quello che conta</w:t>
            </w:r>
            <w:r w:rsidRPr="00262B2A">
              <w:rPr>
                <w:rFonts w:ascii="Arial" w:hAnsi="Arial" w:cs="Arial"/>
              </w:rPr>
              <w:t xml:space="preserve"> </w:t>
            </w:r>
          </w:p>
          <w:p w:rsidR="00696673" w:rsidRPr="00262B2A" w:rsidRDefault="00696673">
            <w:pPr>
              <w:rPr>
                <w:rFonts w:ascii="Arial" w:hAnsi="Arial" w:cs="Arial"/>
                <w:b/>
              </w:rPr>
            </w:pPr>
          </w:p>
          <w:p w:rsidR="009B32FC" w:rsidRPr="00262B2A" w:rsidRDefault="009B32FC">
            <w:pPr>
              <w:rPr>
                <w:rFonts w:ascii="Arial" w:hAnsi="Arial" w:cs="Arial"/>
              </w:rPr>
            </w:pPr>
          </w:p>
          <w:p w:rsidR="009B32FC" w:rsidRPr="00262B2A" w:rsidRDefault="009B32FC">
            <w:pPr>
              <w:jc w:val="right"/>
              <w:rPr>
                <w:rFonts w:ascii="Arial" w:hAnsi="Arial" w:cs="Arial"/>
              </w:rPr>
            </w:pPr>
          </w:p>
        </w:tc>
        <w:tc>
          <w:tcPr>
            <w:tcW w:w="8244" w:type="dxa"/>
            <w:tcBorders>
              <w:top w:val="single" w:sz="6" w:space="0" w:color="007C86"/>
              <w:left w:val="nil"/>
              <w:bottom w:val="single" w:sz="6" w:space="0" w:color="007C86"/>
              <w:right w:val="nil"/>
            </w:tcBorders>
          </w:tcPr>
          <w:p w:rsidR="007567C6" w:rsidRDefault="007567C6" w:rsidP="009E1EDD">
            <w:pPr>
              <w:rPr>
                <w:rFonts w:ascii="Arial" w:hAnsi="Arial" w:cs="Arial"/>
              </w:rPr>
            </w:pPr>
            <w:r w:rsidRPr="007567C6">
              <w:rPr>
                <w:rFonts w:ascii="Arial" w:hAnsi="Arial" w:cs="Arial"/>
              </w:rPr>
              <w:t>Per questa revisione sistematica</w:t>
            </w:r>
            <w:r>
              <w:rPr>
                <w:rFonts w:ascii="Arial" w:hAnsi="Arial" w:cs="Arial"/>
              </w:rPr>
              <w:t xml:space="preserve"> sono state </w:t>
            </w:r>
            <w:r w:rsidRPr="007567C6">
              <w:rPr>
                <w:rFonts w:ascii="Arial" w:hAnsi="Arial" w:cs="Arial"/>
              </w:rPr>
              <w:t>seguit</w:t>
            </w:r>
            <w:r>
              <w:rPr>
                <w:rFonts w:ascii="Arial" w:hAnsi="Arial" w:cs="Arial"/>
              </w:rPr>
              <w:t>e</w:t>
            </w:r>
            <w:r w:rsidRPr="007567C6">
              <w:rPr>
                <w:rFonts w:ascii="Arial" w:hAnsi="Arial" w:cs="Arial"/>
              </w:rPr>
              <w:t xml:space="preserve"> le linee guida per le revisioni sistematiche rapide </w:t>
            </w:r>
            <w:r>
              <w:rPr>
                <w:rFonts w:ascii="Arial" w:hAnsi="Arial" w:cs="Arial"/>
              </w:rPr>
              <w:t>che hanno come fine di</w:t>
            </w:r>
            <w:r w:rsidRPr="007567C6">
              <w:rPr>
                <w:rFonts w:ascii="Arial" w:hAnsi="Arial" w:cs="Arial"/>
              </w:rPr>
              <w:t xml:space="preserve"> rafforzare la politica e i sistemi sanitari.</w:t>
            </w:r>
          </w:p>
          <w:p w:rsidR="004A03AE" w:rsidRDefault="005F72E7" w:rsidP="009E1EDD">
            <w:pPr>
              <w:rPr>
                <w:rFonts w:ascii="Arial" w:hAnsi="Arial" w:cs="Arial"/>
              </w:rPr>
            </w:pPr>
            <w:r>
              <w:rPr>
                <w:rFonts w:ascii="Arial" w:hAnsi="Arial" w:cs="Arial"/>
              </w:rPr>
              <w:t xml:space="preserve">Sono state consultati </w:t>
            </w:r>
            <w:r w:rsidRPr="005F72E7">
              <w:rPr>
                <w:rFonts w:ascii="Arial" w:hAnsi="Arial" w:cs="Arial"/>
              </w:rPr>
              <w:t xml:space="preserve">MEDLINE, Global </w:t>
            </w:r>
            <w:proofErr w:type="spellStart"/>
            <w:r w:rsidRPr="005F72E7">
              <w:rPr>
                <w:rFonts w:ascii="Arial" w:hAnsi="Arial" w:cs="Arial"/>
              </w:rPr>
              <w:t>Health</w:t>
            </w:r>
            <w:proofErr w:type="spellEnd"/>
            <w:r w:rsidRPr="005F72E7">
              <w:rPr>
                <w:rFonts w:ascii="Arial" w:hAnsi="Arial" w:cs="Arial"/>
              </w:rPr>
              <w:t xml:space="preserve">, </w:t>
            </w:r>
            <w:proofErr w:type="spellStart"/>
            <w:r w:rsidRPr="005F72E7">
              <w:rPr>
                <w:rFonts w:ascii="Arial" w:hAnsi="Arial" w:cs="Arial"/>
              </w:rPr>
              <w:t>Embase</w:t>
            </w:r>
            <w:proofErr w:type="spellEnd"/>
            <w:r w:rsidRPr="005F72E7">
              <w:rPr>
                <w:rFonts w:ascii="Arial" w:hAnsi="Arial" w:cs="Arial"/>
              </w:rPr>
              <w:t xml:space="preserve">, </w:t>
            </w:r>
            <w:proofErr w:type="spellStart"/>
            <w:r w:rsidRPr="005F72E7">
              <w:rPr>
                <w:rFonts w:ascii="Arial" w:hAnsi="Arial" w:cs="Arial"/>
              </w:rPr>
              <w:t>Cinahl</w:t>
            </w:r>
            <w:proofErr w:type="spellEnd"/>
            <w:r w:rsidRPr="005F72E7">
              <w:rPr>
                <w:rFonts w:ascii="Arial" w:hAnsi="Arial" w:cs="Arial"/>
              </w:rPr>
              <w:t xml:space="preserve">, Web of Science, </w:t>
            </w:r>
            <w:proofErr w:type="spellStart"/>
            <w:r w:rsidRPr="005F72E7">
              <w:rPr>
                <w:rFonts w:ascii="Arial" w:hAnsi="Arial" w:cs="Arial"/>
              </w:rPr>
              <w:t>Cochrane</w:t>
            </w:r>
            <w:proofErr w:type="spellEnd"/>
            <w:r w:rsidRPr="005F72E7">
              <w:rPr>
                <w:rFonts w:ascii="Arial" w:hAnsi="Arial" w:cs="Arial"/>
              </w:rPr>
              <w:t xml:space="preserve"> Library, Africa Wide, Global Index </w:t>
            </w:r>
            <w:proofErr w:type="spellStart"/>
            <w:r w:rsidRPr="005F72E7">
              <w:rPr>
                <w:rFonts w:ascii="Arial" w:hAnsi="Arial" w:cs="Arial"/>
              </w:rPr>
              <w:t>Medicus</w:t>
            </w:r>
            <w:proofErr w:type="spellEnd"/>
            <w:r w:rsidRPr="005F72E7">
              <w:rPr>
                <w:rFonts w:ascii="Arial" w:hAnsi="Arial" w:cs="Arial"/>
              </w:rPr>
              <w:t xml:space="preserve"> e </w:t>
            </w:r>
            <w:proofErr w:type="gramStart"/>
            <w:r w:rsidRPr="005F72E7">
              <w:rPr>
                <w:rFonts w:ascii="Arial" w:hAnsi="Arial" w:cs="Arial"/>
              </w:rPr>
              <w:t>OVID</w:t>
            </w:r>
            <w:r>
              <w:rPr>
                <w:rFonts w:ascii="Arial" w:hAnsi="Arial" w:cs="Arial"/>
              </w:rPr>
              <w:t xml:space="preserve"> ,</w:t>
            </w:r>
            <w:proofErr w:type="gramEnd"/>
            <w:r>
              <w:rPr>
                <w:rFonts w:ascii="Arial" w:hAnsi="Arial" w:cs="Arial"/>
              </w:rPr>
              <w:t xml:space="preserve"> la letteratura grigia ed esperti del settore. S</w:t>
            </w:r>
            <w:r w:rsidR="00E205F0" w:rsidRPr="00E205F0">
              <w:rPr>
                <w:rFonts w:ascii="Arial" w:hAnsi="Arial" w:cs="Arial"/>
              </w:rPr>
              <w:t>ono state valutate per l’ammissibilità</w:t>
            </w:r>
            <w:r w:rsidR="00724DC3">
              <w:rPr>
                <w:rFonts w:ascii="Arial" w:hAnsi="Arial" w:cs="Arial"/>
              </w:rPr>
              <w:t xml:space="preserve"> </w:t>
            </w:r>
            <w:r w:rsidR="00E205F0" w:rsidRPr="00E205F0">
              <w:rPr>
                <w:rFonts w:ascii="Arial" w:hAnsi="Arial" w:cs="Arial"/>
              </w:rPr>
              <w:t>236 pubblicazioni full-text, con 36 pubblicazioni incluse nella revisione sistematica finale. Queste 36 pubblicazioni rappresentavano 30 interventi da 16 Paesi (Afghanistan, Australia, Cambogia, Colombia, Repubblica Democratica del Congo, Kenya, Liberia, Papua Nuova Guinea, Perù, Filippine, Ruanda, Sud Africa, Uganda, Regno Unito, Stati Uniti e Vietnam)</w:t>
            </w:r>
            <w:r w:rsidR="002138F0">
              <w:rPr>
                <w:rFonts w:ascii="Arial" w:hAnsi="Arial" w:cs="Arial"/>
              </w:rPr>
              <w:t>.</w:t>
            </w:r>
          </w:p>
          <w:p w:rsidR="002138F0" w:rsidRDefault="002138F0" w:rsidP="002138F0">
            <w:pPr>
              <w:rPr>
                <w:rFonts w:ascii="Arial" w:hAnsi="Arial" w:cs="Arial"/>
              </w:rPr>
            </w:pPr>
            <w:r>
              <w:rPr>
                <w:rFonts w:ascii="Arial" w:hAnsi="Arial" w:cs="Arial"/>
              </w:rPr>
              <w:t xml:space="preserve">I </w:t>
            </w:r>
            <w:r w:rsidRPr="002138F0">
              <w:rPr>
                <w:rFonts w:ascii="Arial" w:hAnsi="Arial" w:cs="Arial"/>
              </w:rPr>
              <w:t xml:space="preserve">programmi per genitori offrono un approccio globale per affrontare l’IPV e la VAC e hanno il potenziale per interrompere il ciclo della violenza intergenerazionale incoraggiando interazioni familiari eque e non violente dal punto di vista del genere, affrontando i fattori di rischio comuni. Tuttavia, la loro efficacia nel ridurre la VAC potrebbe essere compromessa se non si affronta l’IPV concomitante, in quanto la presenza di IPV può influenzare la capacità genitoriale e l’esperienza di maternità delle donne.  </w:t>
            </w:r>
          </w:p>
          <w:p w:rsidR="00095AB8" w:rsidRPr="002138F0" w:rsidRDefault="00095AB8" w:rsidP="002138F0">
            <w:pPr>
              <w:rPr>
                <w:rFonts w:ascii="Arial" w:hAnsi="Arial" w:cs="Arial"/>
              </w:rPr>
            </w:pPr>
            <w:r>
              <w:rPr>
                <w:rFonts w:ascii="Arial" w:hAnsi="Arial" w:cs="Arial"/>
              </w:rPr>
              <w:t xml:space="preserve">Le </w:t>
            </w:r>
            <w:r w:rsidRPr="00095AB8">
              <w:rPr>
                <w:rFonts w:ascii="Arial" w:hAnsi="Arial" w:cs="Arial"/>
              </w:rPr>
              <w:t>prove di revisione esistenti indicano che i trasferimenti di denaro che affrontano l’IPV e le norme di genere possono ridurre l’IPV in molti contesti</w:t>
            </w:r>
            <w:r>
              <w:rPr>
                <w:rFonts w:ascii="Arial" w:hAnsi="Arial" w:cs="Arial"/>
              </w:rPr>
              <w:t>.</w:t>
            </w:r>
            <w:r w:rsidRPr="00095AB8">
              <w:rPr>
                <w:rFonts w:ascii="Arial" w:hAnsi="Arial" w:cs="Arial"/>
              </w:rPr>
              <w:t xml:space="preserve"> Due dei programmi per genitori sono stati associati a trasferimenti di denaro e hanno riportato riduzioni di IPV e VAC. Quando i programmi di trasferimento di denaro sono combinati con interventi di genitorialità, possono ridurre l’IPV, o entrambi</w:t>
            </w:r>
            <w:r>
              <w:rPr>
                <w:rFonts w:ascii="Arial" w:hAnsi="Arial" w:cs="Arial"/>
              </w:rPr>
              <w:t>.</w:t>
            </w:r>
          </w:p>
          <w:p w:rsidR="002138F0" w:rsidRPr="00262B2A" w:rsidRDefault="002138F0" w:rsidP="00132042">
            <w:pPr>
              <w:rPr>
                <w:rFonts w:ascii="Arial" w:hAnsi="Arial" w:cs="Arial"/>
              </w:rPr>
            </w:pPr>
            <w:r w:rsidRPr="002138F0">
              <w:rPr>
                <w:rFonts w:ascii="Arial" w:hAnsi="Arial" w:cs="Arial"/>
              </w:rPr>
              <w:t xml:space="preserve">Approcci promettenti sono presenti negli interventi basati sulla comunità che promuovono norme di equità di genere per ridurre la trasmissione intergenerazionale di credenze e atteggiamenti che supportano l’IPV e la VAC, compresi gli interventi di rafforzamento della famiglia per prevenire l’esperienza o l’esposizione alla violenza in famiglia. L’uso di un approccio ampio alla violenza nel corso della vita potrebbe aiutare a prevenire l’esposizione infantile alla violenza familiare, ridurre l’IPV e affrontare le intersezioni tra IPV e VAC. </w:t>
            </w:r>
          </w:p>
        </w:tc>
      </w:tr>
      <w:tr w:rsidR="009B32FC" w:rsidRPr="005A1308" w:rsidTr="007272F1">
        <w:trPr>
          <w:jc w:val="center"/>
        </w:trPr>
        <w:tc>
          <w:tcPr>
            <w:tcW w:w="2268" w:type="dxa"/>
            <w:tcBorders>
              <w:top w:val="single" w:sz="6" w:space="0" w:color="007C86"/>
              <w:left w:val="nil"/>
              <w:bottom w:val="single" w:sz="6" w:space="0" w:color="007C86"/>
              <w:right w:val="nil"/>
            </w:tcBorders>
            <w:hideMark/>
          </w:tcPr>
          <w:p w:rsidR="009B32FC" w:rsidRPr="00262B2A" w:rsidRDefault="009B32FC">
            <w:pPr>
              <w:rPr>
                <w:rFonts w:ascii="Arial" w:hAnsi="Arial" w:cs="Arial"/>
                <w:b/>
              </w:rPr>
            </w:pPr>
            <w:proofErr w:type="spellStart"/>
            <w:r w:rsidRPr="00262B2A">
              <w:rPr>
                <w:rFonts w:ascii="Arial" w:hAnsi="Arial" w:cs="Arial"/>
                <w:b/>
              </w:rPr>
              <w:t>Caveat</w:t>
            </w:r>
            <w:proofErr w:type="spellEnd"/>
            <w:r w:rsidRPr="00262B2A">
              <w:rPr>
                <w:rFonts w:ascii="Arial" w:hAnsi="Arial" w:cs="Arial"/>
              </w:rPr>
              <w:t xml:space="preserve"> </w:t>
            </w:r>
          </w:p>
        </w:tc>
        <w:tc>
          <w:tcPr>
            <w:tcW w:w="8305" w:type="dxa"/>
            <w:gridSpan w:val="2"/>
            <w:tcBorders>
              <w:top w:val="single" w:sz="6" w:space="0" w:color="007C86"/>
              <w:left w:val="nil"/>
              <w:bottom w:val="single" w:sz="6" w:space="0" w:color="007C86"/>
              <w:right w:val="nil"/>
            </w:tcBorders>
          </w:tcPr>
          <w:p w:rsidR="009B32FC" w:rsidRPr="005A1308" w:rsidRDefault="006B1B98" w:rsidP="006B1B98">
            <w:pPr>
              <w:rPr>
                <w:rFonts w:ascii="Arial" w:hAnsi="Arial" w:cs="Arial"/>
              </w:rPr>
            </w:pPr>
            <w:r w:rsidRPr="006B1B98">
              <w:rPr>
                <w:rFonts w:ascii="Arial" w:hAnsi="Arial" w:cs="Arial"/>
              </w:rPr>
              <w:t xml:space="preserve">La maggior parte degli studi presentava limiti metodologici. 11 (37%) dei 30 interventi si sono concentrati su una forma di violenza, ma hanno misurato sia l'IPV </w:t>
            </w:r>
            <w:r>
              <w:rPr>
                <w:rFonts w:ascii="Arial" w:hAnsi="Arial" w:cs="Arial"/>
              </w:rPr>
              <w:t>sia</w:t>
            </w:r>
            <w:r w:rsidRPr="006B1B98">
              <w:rPr>
                <w:rFonts w:ascii="Arial" w:hAnsi="Arial" w:cs="Arial"/>
              </w:rPr>
              <w:t xml:space="preserve"> il VAC nella valutazione. Le future valutazioni degli interventi dovrebbero misurare intenzionalmente l'IPV e il VAC, collegandoli a specifiche teorie di intervento del cambiamento. Gli approcci standardizzati alla misurazione dell'IPV e del VAC erano scarsi, con la dipendenza dai rapporti dei </w:t>
            </w:r>
            <w:proofErr w:type="spellStart"/>
            <w:r w:rsidRPr="006B1B98">
              <w:rPr>
                <w:rFonts w:ascii="Arial" w:hAnsi="Arial" w:cs="Arial"/>
              </w:rPr>
              <w:t>caregiver</w:t>
            </w:r>
            <w:proofErr w:type="spellEnd"/>
            <w:r w:rsidRPr="006B1B98">
              <w:rPr>
                <w:rFonts w:ascii="Arial" w:hAnsi="Arial" w:cs="Arial"/>
              </w:rPr>
              <w:t xml:space="preserve"> di una dura disciplina. Alcuni studi hanno combinato le segnalazioni di IPV maschili e femminili </w:t>
            </w:r>
            <w:r w:rsidRPr="006B1B98">
              <w:rPr>
                <w:rFonts w:ascii="Arial" w:hAnsi="Arial" w:cs="Arial"/>
              </w:rPr>
              <w:lastRenderedPageBreak/>
              <w:t xml:space="preserve">nelle loro stime, riducendo così l'accuratezza. L'uso di strumenti adeguati all'età per confermare le segnalazioni di genitorialità positiva e la riduzione delle punizioni dure migliorerebbe la validità dei risultati. A causa dell'approccio rapido di revisione sistematica, non </w:t>
            </w:r>
            <w:r>
              <w:rPr>
                <w:rFonts w:ascii="Arial" w:hAnsi="Arial" w:cs="Arial"/>
              </w:rPr>
              <w:t>è stato possibile</w:t>
            </w:r>
            <w:r w:rsidRPr="006B1B98">
              <w:rPr>
                <w:rFonts w:ascii="Arial" w:hAnsi="Arial" w:cs="Arial"/>
              </w:rPr>
              <w:t xml:space="preserve"> esaminare due volte gli </w:t>
            </w:r>
            <w:proofErr w:type="spellStart"/>
            <w:r w:rsidRPr="006B1B98">
              <w:rPr>
                <w:rFonts w:ascii="Arial" w:hAnsi="Arial" w:cs="Arial"/>
                <w:i/>
              </w:rPr>
              <w:t>abstract</w:t>
            </w:r>
            <w:proofErr w:type="spellEnd"/>
            <w:r w:rsidRPr="006B1B98">
              <w:rPr>
                <w:rFonts w:ascii="Arial" w:hAnsi="Arial" w:cs="Arial"/>
              </w:rPr>
              <w:t xml:space="preserve">, anche se il team di revisione si è riunito regolarmente per discutere gli </w:t>
            </w:r>
            <w:proofErr w:type="spellStart"/>
            <w:r w:rsidRPr="006B1B98">
              <w:rPr>
                <w:rFonts w:ascii="Arial" w:hAnsi="Arial" w:cs="Arial"/>
                <w:i/>
              </w:rPr>
              <w:t>abstract</w:t>
            </w:r>
            <w:proofErr w:type="spellEnd"/>
            <w:r w:rsidRPr="006B1B98">
              <w:rPr>
                <w:rFonts w:ascii="Arial" w:hAnsi="Arial" w:cs="Arial"/>
                <w:i/>
              </w:rPr>
              <w:t xml:space="preserve"> </w:t>
            </w:r>
            <w:r w:rsidRPr="006B1B98">
              <w:rPr>
                <w:rFonts w:ascii="Arial" w:hAnsi="Arial" w:cs="Arial"/>
              </w:rPr>
              <w:t>per i quali c'era incertezza. Inoltre, tutti i testi completi sono stati sottoposti a doppio screening, la metà degli studi inclusi è stata estratta due volte e la revisione sistematica è stata condotta da un team multidisciplinare di revisori con esperienza in VAW e VAC. Nonostante i limiti metodologici negli studi inclusi</w:t>
            </w:r>
            <w:r>
              <w:rPr>
                <w:rFonts w:ascii="Arial" w:hAnsi="Arial" w:cs="Arial"/>
              </w:rPr>
              <w:t xml:space="preserve"> è stato</w:t>
            </w:r>
            <w:r w:rsidRPr="006B1B98">
              <w:rPr>
                <w:rFonts w:ascii="Arial" w:hAnsi="Arial" w:cs="Arial"/>
              </w:rPr>
              <w:t xml:space="preserve"> </w:t>
            </w:r>
            <w:r>
              <w:rPr>
                <w:rFonts w:ascii="Arial" w:hAnsi="Arial" w:cs="Arial"/>
              </w:rPr>
              <w:t xml:space="preserve">possibile </w:t>
            </w:r>
            <w:r w:rsidRPr="006B1B98">
              <w:rPr>
                <w:rFonts w:ascii="Arial" w:hAnsi="Arial" w:cs="Arial"/>
              </w:rPr>
              <w:t>combinare alcuni degli interventi primari di prevenzione e risposta per sviluppare modelli concettuali che delineassero i potenziali meccanismi che hanno portato alla riduzione di IPV e VAC.</w:t>
            </w:r>
          </w:p>
        </w:tc>
      </w:tr>
      <w:tr w:rsidR="009B32FC" w:rsidRPr="00262B2A" w:rsidTr="006851A6">
        <w:trPr>
          <w:trHeight w:val="598"/>
          <w:jc w:val="center"/>
        </w:trPr>
        <w:tc>
          <w:tcPr>
            <w:tcW w:w="2329" w:type="dxa"/>
            <w:gridSpan w:val="2"/>
            <w:tcBorders>
              <w:top w:val="single" w:sz="6" w:space="0" w:color="007C86"/>
              <w:left w:val="nil"/>
              <w:bottom w:val="single" w:sz="6" w:space="0" w:color="007C86"/>
              <w:right w:val="nil"/>
            </w:tcBorders>
            <w:hideMark/>
          </w:tcPr>
          <w:p w:rsidR="009B32FC" w:rsidRPr="00262B2A" w:rsidRDefault="009B32FC">
            <w:pPr>
              <w:rPr>
                <w:rFonts w:ascii="Arial" w:hAnsi="Arial" w:cs="Arial"/>
                <w:b/>
                <w:lang w:val="en-GB"/>
              </w:rPr>
            </w:pPr>
            <w:proofErr w:type="spellStart"/>
            <w:r w:rsidRPr="00262B2A">
              <w:rPr>
                <w:rFonts w:ascii="Arial" w:hAnsi="Arial" w:cs="Arial"/>
                <w:b/>
                <w:lang w:val="en-GB"/>
              </w:rPr>
              <w:lastRenderedPageBreak/>
              <w:t>Contesto</w:t>
            </w:r>
            <w:proofErr w:type="spellEnd"/>
          </w:p>
        </w:tc>
        <w:tc>
          <w:tcPr>
            <w:tcW w:w="8244" w:type="dxa"/>
            <w:tcBorders>
              <w:top w:val="single" w:sz="6" w:space="0" w:color="007C86"/>
              <w:left w:val="nil"/>
              <w:bottom w:val="single" w:sz="6" w:space="0" w:color="007C86"/>
              <w:right w:val="nil"/>
            </w:tcBorders>
          </w:tcPr>
          <w:p w:rsidR="003766FC" w:rsidRDefault="003766FC" w:rsidP="003766FC">
            <w:pPr>
              <w:pStyle w:val="NormaleWeb"/>
            </w:pPr>
            <w:r>
              <w:t xml:space="preserve">La violenza sulle donne (VAW </w:t>
            </w:r>
            <w:proofErr w:type="spellStart"/>
            <w:r>
              <w:t>Violence</w:t>
            </w:r>
            <w:proofErr w:type="spellEnd"/>
            <w:r>
              <w:t xml:space="preserve"> </w:t>
            </w:r>
            <w:proofErr w:type="spellStart"/>
            <w:r>
              <w:t>against</w:t>
            </w:r>
            <w:proofErr w:type="spellEnd"/>
            <w:r>
              <w:t xml:space="preserve"> </w:t>
            </w:r>
            <w:proofErr w:type="spellStart"/>
            <w:r>
              <w:t>Women</w:t>
            </w:r>
            <w:proofErr w:type="spellEnd"/>
            <w:r>
              <w:t>) e la violenza verso i bambini e le bambine</w:t>
            </w:r>
            <w:r w:rsidR="00F33D98">
              <w:t xml:space="preserve"> </w:t>
            </w:r>
            <w:r>
              <w:t xml:space="preserve">(VAC) sono gravi preoccupazioni per la salute globale e rappresentano i principali ostacoli alla realizzazione dell'Agenda 2030 per lo sviluppo sostenibile. Secondo il rapporto dell'OMS sulla prevenzione della violenza verso l’infanzia, a livello globale, si stima che il 50% dei bambini di età compresa tra i 2 e i 17 anni subisca una qualche forma di violenza ogni anno e si stima che quasi 300 milioni di bambini di età compresa tra i 2 e i 4 anni subiscano regolarmente una disciplina violenta da parte di chi si prende cura di loro. La violenza da parte del partner (IPV) è la forma più comune di violenza sessuale e si stima che colpisca una donna su quattro a livello globale. I bambini sono esposti direttamente all'IPV quando la osservano o la sentono, e sono esposti indirettamente quando sono consapevoli che tale violenza abbia luogo (anche se non ne sono testimoni). L'esposizione infantile all'IPV e l'esperienza diretta di violenza da parte di un genitore o di un </w:t>
            </w:r>
            <w:proofErr w:type="spellStart"/>
            <w:r w:rsidRPr="00F33D98">
              <w:rPr>
                <w:i/>
              </w:rPr>
              <w:t>caregiver</w:t>
            </w:r>
            <w:proofErr w:type="spellEnd"/>
            <w:r>
              <w:t xml:space="preserve"> sono associate a esiti negativi per la salute, scarso livello di istruzione e compromissione del funzionamento sociale. </w:t>
            </w:r>
          </w:p>
          <w:p w:rsidR="009B32FC" w:rsidRPr="00262B2A" w:rsidRDefault="009B32FC" w:rsidP="00F33D98">
            <w:pPr>
              <w:pStyle w:val="NormaleWeb"/>
              <w:rPr>
                <w:rFonts w:ascii="Arial" w:hAnsi="Arial" w:cs="Arial"/>
              </w:rPr>
            </w:pPr>
          </w:p>
        </w:tc>
      </w:tr>
      <w:tr w:rsidR="009B32FC" w:rsidRPr="00262B2A" w:rsidTr="006851A6">
        <w:trPr>
          <w:jc w:val="center"/>
        </w:trPr>
        <w:tc>
          <w:tcPr>
            <w:tcW w:w="2329" w:type="dxa"/>
            <w:gridSpan w:val="2"/>
            <w:tcBorders>
              <w:top w:val="single" w:sz="6" w:space="0" w:color="007C86"/>
              <w:left w:val="nil"/>
              <w:bottom w:val="single" w:sz="6" w:space="0" w:color="007C86"/>
              <w:right w:val="nil"/>
            </w:tcBorders>
            <w:hideMark/>
          </w:tcPr>
          <w:p w:rsidR="009B32FC" w:rsidRPr="00262B2A" w:rsidRDefault="009B32FC">
            <w:pPr>
              <w:rPr>
                <w:rFonts w:ascii="Arial" w:hAnsi="Arial" w:cs="Arial"/>
                <w:b/>
                <w:lang w:val="en-GB"/>
              </w:rPr>
            </w:pPr>
            <w:r w:rsidRPr="00262B2A">
              <w:rPr>
                <w:rFonts w:ascii="Arial" w:hAnsi="Arial" w:cs="Arial"/>
                <w:b/>
                <w:lang w:val="en-GB"/>
              </w:rPr>
              <w:t xml:space="preserve">In </w:t>
            </w:r>
            <w:proofErr w:type="spellStart"/>
            <w:r w:rsidRPr="00262B2A">
              <w:rPr>
                <w:rFonts w:ascii="Arial" w:hAnsi="Arial" w:cs="Arial"/>
                <w:b/>
                <w:lang w:val="en-GB"/>
              </w:rPr>
              <w:t>evidenza</w:t>
            </w:r>
            <w:proofErr w:type="spellEnd"/>
          </w:p>
        </w:tc>
        <w:tc>
          <w:tcPr>
            <w:tcW w:w="8244" w:type="dxa"/>
            <w:tcBorders>
              <w:top w:val="single" w:sz="6" w:space="0" w:color="007C86"/>
              <w:left w:val="nil"/>
              <w:bottom w:val="single" w:sz="6" w:space="0" w:color="007C86"/>
              <w:right w:val="nil"/>
            </w:tcBorders>
            <w:hideMark/>
          </w:tcPr>
          <w:p w:rsidR="009B32FC" w:rsidRPr="00262B2A" w:rsidRDefault="009B32FC" w:rsidP="002242EC">
            <w:pPr>
              <w:spacing w:after="0" w:line="240" w:lineRule="auto"/>
              <w:rPr>
                <w:rFonts w:ascii="Arial" w:hAnsi="Arial" w:cs="Arial"/>
              </w:rPr>
            </w:pPr>
          </w:p>
        </w:tc>
      </w:tr>
      <w:tr w:rsidR="009B32FC" w:rsidRPr="00262B2A" w:rsidTr="006851A6">
        <w:trPr>
          <w:jc w:val="center"/>
        </w:trPr>
        <w:tc>
          <w:tcPr>
            <w:tcW w:w="2329" w:type="dxa"/>
            <w:gridSpan w:val="2"/>
            <w:tcBorders>
              <w:top w:val="single" w:sz="6" w:space="0" w:color="007C86"/>
              <w:left w:val="nil"/>
              <w:bottom w:val="single" w:sz="6" w:space="0" w:color="007C86"/>
              <w:right w:val="nil"/>
            </w:tcBorders>
            <w:hideMark/>
          </w:tcPr>
          <w:p w:rsidR="009B32FC" w:rsidRPr="00262B2A" w:rsidRDefault="009B32FC">
            <w:pPr>
              <w:rPr>
                <w:rFonts w:ascii="Arial" w:hAnsi="Arial" w:cs="Arial"/>
                <w:b/>
              </w:rPr>
            </w:pPr>
            <w:r w:rsidRPr="00262B2A">
              <w:rPr>
                <w:rFonts w:ascii="Arial" w:hAnsi="Arial" w:cs="Arial"/>
                <w:b/>
              </w:rPr>
              <w:t xml:space="preserve">Implicazioni per la pratica </w:t>
            </w:r>
          </w:p>
        </w:tc>
        <w:tc>
          <w:tcPr>
            <w:tcW w:w="8244" w:type="dxa"/>
            <w:tcBorders>
              <w:top w:val="single" w:sz="6" w:space="0" w:color="007C86"/>
              <w:left w:val="nil"/>
              <w:bottom w:val="single" w:sz="6" w:space="0" w:color="007C86"/>
              <w:right w:val="nil"/>
            </w:tcBorders>
          </w:tcPr>
          <w:p w:rsidR="000B62D2" w:rsidRPr="00262B2A" w:rsidRDefault="009B32FC" w:rsidP="00724DC3">
            <w:pPr>
              <w:rPr>
                <w:rFonts w:ascii="Arial" w:hAnsi="Arial" w:cs="Arial"/>
              </w:rPr>
            </w:pPr>
            <w:r w:rsidRPr="00262B2A">
              <w:rPr>
                <w:rStyle w:val="rynqvb"/>
                <w:rFonts w:ascii="Arial" w:hAnsi="Arial" w:cs="Arial"/>
              </w:rPr>
              <w:t xml:space="preserve"> </w:t>
            </w:r>
            <w:r w:rsidR="000B62D2" w:rsidRPr="000B62D2">
              <w:rPr>
                <w:rFonts w:ascii="Arial" w:hAnsi="Arial" w:cs="Arial"/>
              </w:rPr>
              <w:t xml:space="preserve">La revisione sistematica sottolinea il potenziale degli interventi basati sulla comunità e sulla genitorialità per affrontare contemporaneamente l’IPV e la VAC da parte dei genitori o dei </w:t>
            </w:r>
            <w:proofErr w:type="spellStart"/>
            <w:r w:rsidR="000B62D2" w:rsidRPr="000B62D2">
              <w:rPr>
                <w:rFonts w:ascii="Arial" w:hAnsi="Arial" w:cs="Arial"/>
                <w:i/>
              </w:rPr>
              <w:t>caregiver</w:t>
            </w:r>
            <w:proofErr w:type="spellEnd"/>
            <w:r w:rsidR="000B62D2" w:rsidRPr="000B62D2">
              <w:rPr>
                <w:rFonts w:ascii="Arial" w:hAnsi="Arial" w:cs="Arial"/>
                <w:i/>
              </w:rPr>
              <w:t xml:space="preserve"> </w:t>
            </w:r>
            <w:r w:rsidR="000B62D2" w:rsidRPr="000B62D2">
              <w:rPr>
                <w:rFonts w:ascii="Arial" w:hAnsi="Arial" w:cs="Arial"/>
              </w:rPr>
              <w:t>e sottolinea l’importanza di interventi coordinati per fermare i cicli intergenerazionali di violenza. Espandere in modo sicuro i programmi di genitorialità per coinvolgere i membri della famiglia e della comunità può portare a riduzioni durature della violenza e miglioramenti nell’uguaglianza di genere. L’IPV e la VAC, che condividono fattori di rischio ed effetti dannosi comuni, possono essere mitigati attraverso programmi basati sulla comunità e sulla genitorialità che affrontino entrambi i tipi di violenza. Per un progresso sostenibile nell’equità di genere e nella riduzione della violenza, questi programmi devono affrontare le norme di genere dannose e coinvolgere i membri della comunità al di là della coppia genitoriale. Integrare gli sforzi di prevenzione e risposta in più settori è fondamentale per proteggere il benessere di donne, bambini e bambine.</w:t>
            </w:r>
          </w:p>
        </w:tc>
      </w:tr>
      <w:tr w:rsidR="009B32FC" w:rsidRPr="00262B2A" w:rsidTr="006851A6">
        <w:trPr>
          <w:jc w:val="center"/>
        </w:trPr>
        <w:tc>
          <w:tcPr>
            <w:tcW w:w="2329" w:type="dxa"/>
            <w:gridSpan w:val="2"/>
            <w:tcBorders>
              <w:top w:val="single" w:sz="6" w:space="0" w:color="007C86"/>
              <w:left w:val="nil"/>
              <w:bottom w:val="single" w:sz="6" w:space="0" w:color="007C86"/>
              <w:right w:val="nil"/>
            </w:tcBorders>
            <w:hideMark/>
          </w:tcPr>
          <w:p w:rsidR="009B32FC" w:rsidRPr="00262B2A" w:rsidRDefault="009B32FC">
            <w:pPr>
              <w:rPr>
                <w:rFonts w:ascii="Arial" w:hAnsi="Arial" w:cs="Arial"/>
                <w:b/>
              </w:rPr>
            </w:pPr>
            <w:r w:rsidRPr="00262B2A">
              <w:rPr>
                <w:rFonts w:ascii="Arial" w:hAnsi="Arial" w:cs="Arial"/>
                <w:b/>
              </w:rPr>
              <w:t xml:space="preserve">Giudizio di qualità Revisione </w:t>
            </w:r>
          </w:p>
        </w:tc>
        <w:tc>
          <w:tcPr>
            <w:tcW w:w="8244" w:type="dxa"/>
            <w:tcBorders>
              <w:top w:val="single" w:sz="6" w:space="0" w:color="007C86"/>
              <w:left w:val="nil"/>
              <w:bottom w:val="single" w:sz="6" w:space="0" w:color="007C86"/>
              <w:right w:val="nil"/>
            </w:tcBorders>
          </w:tcPr>
          <w:p w:rsidR="009B32FC" w:rsidRPr="005C1ACE" w:rsidRDefault="005C1ACE" w:rsidP="005C1ACE">
            <w:pPr>
              <w:rPr>
                <w:rFonts w:ascii="Arial" w:hAnsi="Arial" w:cs="Arial"/>
                <w:highlight w:val="yellow"/>
              </w:rPr>
            </w:pPr>
            <w:r w:rsidRPr="005C1ACE">
              <w:rPr>
                <w:rFonts w:ascii="Arial" w:hAnsi="Arial" w:cs="Arial"/>
              </w:rPr>
              <w:t>(</w:t>
            </w:r>
            <w:r w:rsidRPr="006B7DCF">
              <w:rPr>
                <w:rFonts w:ascii="Arial" w:hAnsi="Arial" w:cs="Arial"/>
                <w:i/>
              </w:rPr>
              <w:t xml:space="preserve">Strong; </w:t>
            </w:r>
            <w:proofErr w:type="spellStart"/>
            <w:r w:rsidRPr="006B7DCF">
              <w:rPr>
                <w:rFonts w:ascii="Arial" w:hAnsi="Arial" w:cs="Arial"/>
                <w:i/>
              </w:rPr>
              <w:t>Health</w:t>
            </w:r>
            <w:proofErr w:type="spellEnd"/>
            <w:r w:rsidRPr="006B7DCF">
              <w:rPr>
                <w:rFonts w:ascii="Arial" w:hAnsi="Arial" w:cs="Arial"/>
                <w:i/>
              </w:rPr>
              <w:t xml:space="preserve"> </w:t>
            </w:r>
            <w:proofErr w:type="spellStart"/>
            <w:r w:rsidRPr="006B7DCF">
              <w:rPr>
                <w:rFonts w:ascii="Arial" w:hAnsi="Arial" w:cs="Arial"/>
                <w:i/>
              </w:rPr>
              <w:t>Evidence</w:t>
            </w:r>
            <w:proofErr w:type="spellEnd"/>
            <w:r w:rsidRPr="005C1ACE">
              <w:rPr>
                <w:rFonts w:ascii="Arial" w:hAnsi="Arial" w:cs="Arial"/>
              </w:rPr>
              <w:t>)</w:t>
            </w:r>
          </w:p>
        </w:tc>
      </w:tr>
      <w:tr w:rsidR="009B32FC" w:rsidRPr="006851A6" w:rsidTr="006851A6">
        <w:trPr>
          <w:jc w:val="center"/>
        </w:trPr>
        <w:tc>
          <w:tcPr>
            <w:tcW w:w="2329" w:type="dxa"/>
            <w:gridSpan w:val="2"/>
            <w:tcBorders>
              <w:top w:val="single" w:sz="6" w:space="0" w:color="007C86"/>
              <w:left w:val="nil"/>
              <w:bottom w:val="single" w:sz="6" w:space="0" w:color="007C86"/>
              <w:right w:val="nil"/>
            </w:tcBorders>
            <w:hideMark/>
          </w:tcPr>
          <w:p w:rsidR="009B32FC" w:rsidRPr="00262B2A" w:rsidRDefault="009B32FC">
            <w:pPr>
              <w:rPr>
                <w:rFonts w:ascii="Arial" w:hAnsi="Arial" w:cs="Arial"/>
                <w:b/>
              </w:rPr>
            </w:pPr>
            <w:r w:rsidRPr="00262B2A">
              <w:rPr>
                <w:rFonts w:ascii="Arial" w:hAnsi="Arial" w:cs="Arial"/>
                <w:b/>
              </w:rPr>
              <w:t xml:space="preserve">Riferimento   bibliografico </w:t>
            </w:r>
          </w:p>
        </w:tc>
        <w:tc>
          <w:tcPr>
            <w:tcW w:w="8244" w:type="dxa"/>
            <w:tcBorders>
              <w:top w:val="single" w:sz="6" w:space="0" w:color="007C86"/>
              <w:left w:val="nil"/>
              <w:bottom w:val="single" w:sz="6" w:space="0" w:color="007C86"/>
              <w:right w:val="nil"/>
            </w:tcBorders>
          </w:tcPr>
          <w:p w:rsidR="00FA58A5" w:rsidRDefault="00FA58A5" w:rsidP="00FA58A5">
            <w:pPr>
              <w:pStyle w:val="NormaleWeb"/>
            </w:pPr>
            <w:r w:rsidRPr="00FA58A5">
              <w:rPr>
                <w:lang w:val="en-US"/>
              </w:rPr>
              <w:t xml:space="preserve">Bacchus LJ, </w:t>
            </w:r>
            <w:proofErr w:type="spellStart"/>
            <w:r w:rsidRPr="00FA58A5">
              <w:rPr>
                <w:lang w:val="en-US"/>
              </w:rPr>
              <w:t>Colombini</w:t>
            </w:r>
            <w:proofErr w:type="spellEnd"/>
            <w:r w:rsidRPr="00FA58A5">
              <w:rPr>
                <w:lang w:val="en-US"/>
              </w:rPr>
              <w:t xml:space="preserve"> M, Pearson I, </w:t>
            </w:r>
            <w:proofErr w:type="spellStart"/>
            <w:r w:rsidRPr="00FA58A5">
              <w:rPr>
                <w:lang w:val="en-US"/>
              </w:rPr>
              <w:t>Gevers</w:t>
            </w:r>
            <w:proofErr w:type="spellEnd"/>
            <w:r w:rsidRPr="00FA58A5">
              <w:rPr>
                <w:lang w:val="en-US"/>
              </w:rPr>
              <w:t xml:space="preserve"> A, </w:t>
            </w:r>
            <w:proofErr w:type="spellStart"/>
            <w:r w:rsidRPr="00FA58A5">
              <w:rPr>
                <w:lang w:val="en-US"/>
              </w:rPr>
              <w:t>Stöckl</w:t>
            </w:r>
            <w:proofErr w:type="spellEnd"/>
            <w:r w:rsidRPr="00FA58A5">
              <w:rPr>
                <w:lang w:val="en-US"/>
              </w:rPr>
              <w:t xml:space="preserve"> H, </w:t>
            </w:r>
            <w:proofErr w:type="spellStart"/>
            <w:r w:rsidRPr="00FA58A5">
              <w:rPr>
                <w:lang w:val="en-US"/>
              </w:rPr>
              <w:t>Guedes</w:t>
            </w:r>
            <w:proofErr w:type="spellEnd"/>
            <w:r w:rsidRPr="00FA58A5">
              <w:rPr>
                <w:lang w:val="en-US"/>
              </w:rPr>
              <w:t xml:space="preserve"> AC. Interventions that prevent or respond to intimate partner violence against women and violence against children: a systematic review. </w:t>
            </w:r>
            <w:r>
              <w:t xml:space="preserve">Lancet Public </w:t>
            </w:r>
            <w:proofErr w:type="spellStart"/>
            <w:r>
              <w:t>Health</w:t>
            </w:r>
            <w:proofErr w:type="spellEnd"/>
            <w:r>
              <w:t xml:space="preserve">. 2024 </w:t>
            </w:r>
            <w:r>
              <w:lastRenderedPageBreak/>
              <w:t>May;9(5</w:t>
            </w:r>
            <w:proofErr w:type="gramStart"/>
            <w:r>
              <w:t>):e</w:t>
            </w:r>
            <w:proofErr w:type="gramEnd"/>
            <w:r>
              <w:t>326-e338.</w:t>
            </w:r>
            <w:r w:rsidR="00CB6E60">
              <w:t xml:space="preserve"> </w:t>
            </w:r>
            <w:hyperlink r:id="rId5" w:history="1">
              <w:r w:rsidR="00CB6E60" w:rsidRPr="007103DD">
                <w:rPr>
                  <w:rStyle w:val="Collegamentoipertestuale"/>
                </w:rPr>
                <w:t>https://www.thelancet.com/journals/lanpub/article/PIIS2468-2667(24)00048-3/fulltext</w:t>
              </w:r>
            </w:hyperlink>
          </w:p>
          <w:p w:rsidR="00CB6E60" w:rsidRDefault="00CB6E60" w:rsidP="00FA58A5">
            <w:pPr>
              <w:pStyle w:val="NormaleWeb"/>
            </w:pPr>
          </w:p>
          <w:p w:rsidR="00AA2519" w:rsidRPr="00AA2519" w:rsidRDefault="00AA2519" w:rsidP="00FA58A5">
            <w:pPr>
              <w:rPr>
                <w:rFonts w:ascii="Arial" w:hAnsi="Arial" w:cs="Arial"/>
                <w:i/>
                <w:lang w:val="en-US"/>
              </w:rPr>
            </w:pPr>
          </w:p>
        </w:tc>
      </w:tr>
      <w:tr w:rsidR="009B32FC" w:rsidRPr="00262B2A" w:rsidTr="006851A6">
        <w:trPr>
          <w:jc w:val="center"/>
        </w:trPr>
        <w:tc>
          <w:tcPr>
            <w:tcW w:w="2329" w:type="dxa"/>
            <w:gridSpan w:val="2"/>
            <w:tcBorders>
              <w:top w:val="single" w:sz="6" w:space="0" w:color="007C86"/>
              <w:left w:val="nil"/>
              <w:bottom w:val="single" w:sz="6" w:space="0" w:color="007C86"/>
              <w:right w:val="nil"/>
            </w:tcBorders>
            <w:hideMark/>
          </w:tcPr>
          <w:p w:rsidR="009B32FC" w:rsidRPr="00262B2A" w:rsidRDefault="009B32FC">
            <w:pPr>
              <w:rPr>
                <w:rFonts w:ascii="Arial" w:hAnsi="Arial" w:cs="Arial"/>
                <w:b/>
              </w:rPr>
            </w:pPr>
            <w:r w:rsidRPr="00262B2A">
              <w:rPr>
                <w:rFonts w:ascii="Arial" w:hAnsi="Arial" w:cs="Arial"/>
                <w:b/>
              </w:rPr>
              <w:lastRenderedPageBreak/>
              <w:t xml:space="preserve">Altri riferimenti  </w:t>
            </w:r>
          </w:p>
        </w:tc>
        <w:tc>
          <w:tcPr>
            <w:tcW w:w="8244" w:type="dxa"/>
            <w:tcBorders>
              <w:top w:val="single" w:sz="6" w:space="0" w:color="007C86"/>
              <w:left w:val="nil"/>
              <w:bottom w:val="single" w:sz="6" w:space="0" w:color="007C86"/>
              <w:right w:val="nil"/>
            </w:tcBorders>
            <w:hideMark/>
          </w:tcPr>
          <w:p w:rsidR="009B32FC" w:rsidRPr="00262B2A" w:rsidRDefault="009B32FC">
            <w:pPr>
              <w:autoSpaceDE w:val="0"/>
              <w:autoSpaceDN w:val="0"/>
              <w:adjustRightInd w:val="0"/>
              <w:spacing w:after="0" w:line="240" w:lineRule="auto"/>
              <w:rPr>
                <w:rFonts w:ascii="Arial" w:hAnsi="Arial" w:cs="Arial"/>
                <w:lang w:val="en-US"/>
              </w:rPr>
            </w:pPr>
          </w:p>
        </w:tc>
      </w:tr>
      <w:tr w:rsidR="009B32FC" w:rsidRPr="00262B2A" w:rsidTr="006851A6">
        <w:trPr>
          <w:jc w:val="center"/>
        </w:trPr>
        <w:tc>
          <w:tcPr>
            <w:tcW w:w="2329" w:type="dxa"/>
            <w:gridSpan w:val="2"/>
            <w:tcBorders>
              <w:top w:val="single" w:sz="6" w:space="0" w:color="007C86"/>
              <w:left w:val="nil"/>
              <w:bottom w:val="single" w:sz="6" w:space="0" w:color="007C86"/>
              <w:right w:val="nil"/>
            </w:tcBorders>
            <w:hideMark/>
          </w:tcPr>
          <w:p w:rsidR="009B32FC" w:rsidRPr="00262B2A" w:rsidRDefault="009B32FC">
            <w:pPr>
              <w:rPr>
                <w:rFonts w:ascii="Arial" w:hAnsi="Arial" w:cs="Arial"/>
                <w:b/>
              </w:rPr>
            </w:pPr>
            <w:r w:rsidRPr="00262B2A">
              <w:rPr>
                <w:rFonts w:ascii="Arial" w:hAnsi="Arial" w:cs="Arial"/>
                <w:b/>
              </w:rPr>
              <w:t xml:space="preserve">Parole chiave </w:t>
            </w:r>
          </w:p>
        </w:tc>
        <w:tc>
          <w:tcPr>
            <w:tcW w:w="8244" w:type="dxa"/>
            <w:tcBorders>
              <w:top w:val="single" w:sz="6" w:space="0" w:color="007C86"/>
              <w:left w:val="nil"/>
              <w:bottom w:val="single" w:sz="6" w:space="0" w:color="007C86"/>
              <w:right w:val="nil"/>
            </w:tcBorders>
            <w:hideMark/>
          </w:tcPr>
          <w:p w:rsidR="009B32FC" w:rsidRPr="00833765" w:rsidRDefault="007803C4" w:rsidP="007803C4">
            <w:pPr>
              <w:rPr>
                <w:rFonts w:ascii="Arial" w:hAnsi="Arial" w:cs="Arial"/>
              </w:rPr>
            </w:pPr>
            <w:r>
              <w:rPr>
                <w:rFonts w:ascii="Arial" w:hAnsi="Arial" w:cs="Arial"/>
              </w:rPr>
              <w:t>Violenza di genere; Violenza del partner intimo; Violenza verso l’infanzia</w:t>
            </w:r>
          </w:p>
        </w:tc>
      </w:tr>
      <w:tr w:rsidR="009B32FC" w:rsidRPr="00262B2A" w:rsidTr="006851A6">
        <w:trPr>
          <w:jc w:val="center"/>
        </w:trPr>
        <w:tc>
          <w:tcPr>
            <w:tcW w:w="2329" w:type="dxa"/>
            <w:gridSpan w:val="2"/>
            <w:tcBorders>
              <w:top w:val="single" w:sz="6" w:space="0" w:color="007C86"/>
              <w:left w:val="nil"/>
              <w:bottom w:val="single" w:sz="6" w:space="0" w:color="007C86"/>
              <w:right w:val="nil"/>
            </w:tcBorders>
            <w:hideMark/>
          </w:tcPr>
          <w:p w:rsidR="009B32FC" w:rsidRPr="00262B2A" w:rsidRDefault="009B32FC">
            <w:pPr>
              <w:rPr>
                <w:rFonts w:ascii="Arial" w:hAnsi="Arial" w:cs="Arial"/>
                <w:b/>
              </w:rPr>
            </w:pPr>
            <w:proofErr w:type="spellStart"/>
            <w:r w:rsidRPr="00262B2A">
              <w:rPr>
                <w:rFonts w:ascii="Arial" w:hAnsi="Arial" w:cs="Arial"/>
                <w:b/>
              </w:rPr>
              <w:t>Setting</w:t>
            </w:r>
            <w:proofErr w:type="spellEnd"/>
          </w:p>
        </w:tc>
        <w:tc>
          <w:tcPr>
            <w:tcW w:w="8244" w:type="dxa"/>
            <w:tcBorders>
              <w:top w:val="single" w:sz="6" w:space="0" w:color="007C86"/>
              <w:left w:val="nil"/>
              <w:bottom w:val="single" w:sz="6" w:space="0" w:color="007C86"/>
              <w:right w:val="nil"/>
            </w:tcBorders>
            <w:hideMark/>
          </w:tcPr>
          <w:p w:rsidR="009B32FC" w:rsidRPr="00262B2A" w:rsidRDefault="007803C4" w:rsidP="007803C4">
            <w:pPr>
              <w:rPr>
                <w:rFonts w:ascii="Arial" w:hAnsi="Arial" w:cs="Arial"/>
              </w:rPr>
            </w:pPr>
            <w:r>
              <w:rPr>
                <w:rFonts w:ascii="Arial" w:hAnsi="Arial" w:cs="Arial"/>
              </w:rPr>
              <w:t>Ambiente domestico</w:t>
            </w:r>
          </w:p>
        </w:tc>
      </w:tr>
      <w:tr w:rsidR="009B32FC" w:rsidRPr="00262B2A" w:rsidTr="006851A6">
        <w:trPr>
          <w:jc w:val="center"/>
        </w:trPr>
        <w:tc>
          <w:tcPr>
            <w:tcW w:w="2329" w:type="dxa"/>
            <w:gridSpan w:val="2"/>
            <w:tcBorders>
              <w:top w:val="single" w:sz="6" w:space="0" w:color="007C86"/>
              <w:left w:val="nil"/>
              <w:bottom w:val="single" w:sz="6" w:space="0" w:color="007C86"/>
              <w:right w:val="nil"/>
            </w:tcBorders>
            <w:hideMark/>
          </w:tcPr>
          <w:p w:rsidR="009B32FC" w:rsidRPr="00262B2A" w:rsidRDefault="009B32FC">
            <w:pPr>
              <w:rPr>
                <w:rFonts w:ascii="Arial" w:hAnsi="Arial" w:cs="Arial"/>
                <w:b/>
              </w:rPr>
            </w:pPr>
            <w:proofErr w:type="spellStart"/>
            <w:r w:rsidRPr="00262B2A">
              <w:rPr>
                <w:rFonts w:ascii="Arial" w:hAnsi="Arial" w:cs="Arial"/>
                <w:b/>
              </w:rPr>
              <w:t>Outcome</w:t>
            </w:r>
            <w:proofErr w:type="spellEnd"/>
            <w:r w:rsidRPr="00262B2A">
              <w:rPr>
                <w:rFonts w:ascii="Arial" w:hAnsi="Arial" w:cs="Arial"/>
                <w:b/>
              </w:rPr>
              <w:t xml:space="preserve"> </w:t>
            </w:r>
          </w:p>
        </w:tc>
        <w:tc>
          <w:tcPr>
            <w:tcW w:w="8244" w:type="dxa"/>
            <w:tcBorders>
              <w:top w:val="single" w:sz="6" w:space="0" w:color="007C86"/>
              <w:left w:val="nil"/>
              <w:bottom w:val="single" w:sz="6" w:space="0" w:color="007C86"/>
              <w:right w:val="nil"/>
            </w:tcBorders>
            <w:hideMark/>
          </w:tcPr>
          <w:p w:rsidR="009B32FC" w:rsidRPr="00262B2A" w:rsidRDefault="00062865" w:rsidP="007803C4">
            <w:pPr>
              <w:rPr>
                <w:rFonts w:ascii="Arial" w:hAnsi="Arial" w:cs="Arial"/>
              </w:rPr>
            </w:pPr>
            <w:r>
              <w:rPr>
                <w:rFonts w:ascii="Arial" w:hAnsi="Arial" w:cs="Arial"/>
              </w:rPr>
              <w:t xml:space="preserve">Efficacia </w:t>
            </w:r>
            <w:r w:rsidR="007803C4">
              <w:rPr>
                <w:rFonts w:ascii="Arial" w:hAnsi="Arial" w:cs="Arial"/>
              </w:rPr>
              <w:t>degli interventi</w:t>
            </w:r>
            <w:r w:rsidR="00290F2C">
              <w:rPr>
                <w:rFonts w:ascii="Arial" w:hAnsi="Arial" w:cs="Arial"/>
              </w:rPr>
              <w:t xml:space="preserve"> con elementi comuni per prevenire la violenza di genere e </w:t>
            </w:r>
            <w:r w:rsidR="00AC300A">
              <w:rPr>
                <w:rFonts w:ascii="Arial" w:hAnsi="Arial" w:cs="Arial"/>
              </w:rPr>
              <w:t xml:space="preserve">la violenza </w:t>
            </w:r>
            <w:r w:rsidR="00290F2C">
              <w:rPr>
                <w:rFonts w:ascii="Arial" w:hAnsi="Arial" w:cs="Arial"/>
              </w:rPr>
              <w:t>verso i bambini</w:t>
            </w:r>
          </w:p>
        </w:tc>
      </w:tr>
      <w:tr w:rsidR="009B32FC" w:rsidRPr="00262B2A" w:rsidTr="009B32FC">
        <w:trPr>
          <w:jc w:val="center"/>
        </w:trPr>
        <w:tc>
          <w:tcPr>
            <w:tcW w:w="10573" w:type="dxa"/>
            <w:gridSpan w:val="3"/>
            <w:tcBorders>
              <w:top w:val="single" w:sz="6" w:space="0" w:color="007C86"/>
              <w:left w:val="nil"/>
              <w:bottom w:val="single" w:sz="6" w:space="0" w:color="007C86"/>
              <w:right w:val="nil"/>
            </w:tcBorders>
            <w:hideMark/>
          </w:tcPr>
          <w:p w:rsidR="009B32FC" w:rsidRPr="00262B2A" w:rsidRDefault="009B32FC">
            <w:pPr>
              <w:rPr>
                <w:rFonts w:ascii="Arial" w:hAnsi="Arial" w:cs="Arial"/>
              </w:rPr>
            </w:pPr>
            <w:r w:rsidRPr="00262B2A">
              <w:rPr>
                <w:rFonts w:ascii="Arial" w:hAnsi="Arial" w:cs="Arial"/>
              </w:rPr>
              <w:t xml:space="preserve">Sintesi e traduzione a cura di Marina Penasso, </w:t>
            </w:r>
            <w:proofErr w:type="spellStart"/>
            <w:r w:rsidRPr="00262B2A">
              <w:rPr>
                <w:rFonts w:ascii="Arial" w:hAnsi="Arial" w:cs="Arial"/>
              </w:rPr>
              <w:t>DoRS</w:t>
            </w:r>
            <w:proofErr w:type="spellEnd"/>
          </w:p>
        </w:tc>
      </w:tr>
    </w:tbl>
    <w:p w:rsidR="009B32FC" w:rsidRPr="00262B2A" w:rsidRDefault="009B32FC" w:rsidP="009B32FC">
      <w:pPr>
        <w:rPr>
          <w:rFonts w:ascii="Arial" w:hAnsi="Arial" w:cs="Arial"/>
        </w:rPr>
      </w:pPr>
    </w:p>
    <w:p w:rsidR="009B32FC" w:rsidRDefault="009B32FC" w:rsidP="009B32FC"/>
    <w:p w:rsidR="009B32FC" w:rsidRDefault="00770F29" w:rsidP="009B32FC">
      <w:r>
        <w:t>Foto</w:t>
      </w:r>
    </w:p>
    <w:p w:rsidR="00770F29" w:rsidRDefault="00AC5B7A" w:rsidP="009B32FC">
      <w:hyperlink r:id="rId6" w:history="1">
        <w:r w:rsidRPr="007103DD">
          <w:rPr>
            <w:rStyle w:val="Collegamentoipertestuale"/>
          </w:rPr>
          <w:t>https://www.pexels.com/it-it/foto/uomo-e-donna-che-trasportano-bambino-3038369/</w:t>
        </w:r>
      </w:hyperlink>
    </w:p>
    <w:p w:rsidR="00AC5B7A" w:rsidRDefault="00AC5B7A" w:rsidP="009B32FC">
      <w:bookmarkStart w:id="0" w:name="_GoBack"/>
      <w:bookmarkEnd w:id="0"/>
    </w:p>
    <w:p w:rsidR="005D4751" w:rsidRDefault="005D4751"/>
    <w:sectPr w:rsidR="005D4751" w:rsidSect="005D475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2FC"/>
    <w:rsid w:val="00002D6B"/>
    <w:rsid w:val="0001433A"/>
    <w:rsid w:val="000339FE"/>
    <w:rsid w:val="0004343A"/>
    <w:rsid w:val="00062865"/>
    <w:rsid w:val="00095AB8"/>
    <w:rsid w:val="000B62D2"/>
    <w:rsid w:val="000C0919"/>
    <w:rsid w:val="000D5174"/>
    <w:rsid w:val="000F5213"/>
    <w:rsid w:val="00132042"/>
    <w:rsid w:val="0016705C"/>
    <w:rsid w:val="001A3F9D"/>
    <w:rsid w:val="001E0827"/>
    <w:rsid w:val="002138F0"/>
    <w:rsid w:val="002242EC"/>
    <w:rsid w:val="00262B2A"/>
    <w:rsid w:val="00290F2C"/>
    <w:rsid w:val="002E428D"/>
    <w:rsid w:val="0033484F"/>
    <w:rsid w:val="00363C16"/>
    <w:rsid w:val="00364484"/>
    <w:rsid w:val="003766FC"/>
    <w:rsid w:val="00387C1B"/>
    <w:rsid w:val="00393540"/>
    <w:rsid w:val="0040641C"/>
    <w:rsid w:val="00450E29"/>
    <w:rsid w:val="00451AEE"/>
    <w:rsid w:val="004A03AE"/>
    <w:rsid w:val="004E3D13"/>
    <w:rsid w:val="00511786"/>
    <w:rsid w:val="00574974"/>
    <w:rsid w:val="00580603"/>
    <w:rsid w:val="005A1308"/>
    <w:rsid w:val="005C1ACE"/>
    <w:rsid w:val="005C4D72"/>
    <w:rsid w:val="005D4751"/>
    <w:rsid w:val="005F72E7"/>
    <w:rsid w:val="006021A8"/>
    <w:rsid w:val="006851A6"/>
    <w:rsid w:val="00696673"/>
    <w:rsid w:val="006B1B98"/>
    <w:rsid w:val="006B7D99"/>
    <w:rsid w:val="006B7DCF"/>
    <w:rsid w:val="007177EF"/>
    <w:rsid w:val="00724DC3"/>
    <w:rsid w:val="007272F1"/>
    <w:rsid w:val="0073724A"/>
    <w:rsid w:val="007567C6"/>
    <w:rsid w:val="007672BA"/>
    <w:rsid w:val="00767A73"/>
    <w:rsid w:val="00770F29"/>
    <w:rsid w:val="007803C4"/>
    <w:rsid w:val="00804034"/>
    <w:rsid w:val="00833765"/>
    <w:rsid w:val="00863F90"/>
    <w:rsid w:val="008A17F3"/>
    <w:rsid w:val="0098152E"/>
    <w:rsid w:val="009B32FC"/>
    <w:rsid w:val="009E1EDD"/>
    <w:rsid w:val="009E2147"/>
    <w:rsid w:val="009E6D30"/>
    <w:rsid w:val="009E7263"/>
    <w:rsid w:val="00A153B5"/>
    <w:rsid w:val="00A712FE"/>
    <w:rsid w:val="00AA237C"/>
    <w:rsid w:val="00AA2519"/>
    <w:rsid w:val="00AC1DFE"/>
    <w:rsid w:val="00AC300A"/>
    <w:rsid w:val="00AC5B7A"/>
    <w:rsid w:val="00AE053D"/>
    <w:rsid w:val="00B30D60"/>
    <w:rsid w:val="00B419DC"/>
    <w:rsid w:val="00BD7F96"/>
    <w:rsid w:val="00C558BA"/>
    <w:rsid w:val="00C67830"/>
    <w:rsid w:val="00C77096"/>
    <w:rsid w:val="00C8425A"/>
    <w:rsid w:val="00C95ACA"/>
    <w:rsid w:val="00CB6E60"/>
    <w:rsid w:val="00D16167"/>
    <w:rsid w:val="00D30FDC"/>
    <w:rsid w:val="00D339F0"/>
    <w:rsid w:val="00D613C0"/>
    <w:rsid w:val="00E205F0"/>
    <w:rsid w:val="00E82BED"/>
    <w:rsid w:val="00EB0F8B"/>
    <w:rsid w:val="00ED451C"/>
    <w:rsid w:val="00EE2E01"/>
    <w:rsid w:val="00EF4A3F"/>
    <w:rsid w:val="00F33D98"/>
    <w:rsid w:val="00FA58A5"/>
    <w:rsid w:val="00FD13D3"/>
    <w:rsid w:val="00FF2BE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8E8AD"/>
  <w15:docId w15:val="{F50444FF-AD35-468D-953C-F1B01EB1C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B32FC"/>
    <w:pPr>
      <w:spacing w:after="160" w:line="256" w:lineRule="auto"/>
    </w:pPr>
  </w:style>
  <w:style w:type="paragraph" w:styleId="Titolo1">
    <w:name w:val="heading 1"/>
    <w:basedOn w:val="Normale"/>
    <w:link w:val="Titolo1Carattere"/>
    <w:uiPriority w:val="9"/>
    <w:qFormat/>
    <w:rsid w:val="00ED45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9B32FC"/>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rynqvb">
    <w:name w:val="rynqvb"/>
    <w:basedOn w:val="Carpredefinitoparagrafo"/>
    <w:rsid w:val="009B32FC"/>
  </w:style>
  <w:style w:type="character" w:customStyle="1" w:styleId="hwtze">
    <w:name w:val="hwtze"/>
    <w:basedOn w:val="Carpredefinitoparagrafo"/>
    <w:rsid w:val="000D5174"/>
  </w:style>
  <w:style w:type="character" w:styleId="Enfasicorsivo">
    <w:name w:val="Emphasis"/>
    <w:basedOn w:val="Carpredefinitoparagrafo"/>
    <w:uiPriority w:val="20"/>
    <w:qFormat/>
    <w:rsid w:val="00002D6B"/>
    <w:rPr>
      <w:i/>
      <w:iCs/>
    </w:rPr>
  </w:style>
  <w:style w:type="character" w:styleId="Collegamentoipertestuale">
    <w:name w:val="Hyperlink"/>
    <w:basedOn w:val="Carpredefinitoparagrafo"/>
    <w:uiPriority w:val="99"/>
    <w:unhideWhenUsed/>
    <w:rsid w:val="00002D6B"/>
    <w:rPr>
      <w:color w:val="0000FF" w:themeColor="hyperlink"/>
      <w:u w:val="single"/>
    </w:rPr>
  </w:style>
  <w:style w:type="character" w:styleId="Enfasigrassetto">
    <w:name w:val="Strong"/>
    <w:basedOn w:val="Carpredefinitoparagrafo"/>
    <w:uiPriority w:val="22"/>
    <w:qFormat/>
    <w:rsid w:val="004A03AE"/>
    <w:rPr>
      <w:b/>
      <w:bCs/>
    </w:rPr>
  </w:style>
  <w:style w:type="character" w:customStyle="1" w:styleId="Titolo1Carattere">
    <w:name w:val="Titolo 1 Carattere"/>
    <w:basedOn w:val="Carpredefinitoparagrafo"/>
    <w:link w:val="Titolo1"/>
    <w:uiPriority w:val="9"/>
    <w:rsid w:val="00ED451C"/>
    <w:rPr>
      <w:rFonts w:ascii="Times New Roman" w:eastAsia="Times New Roman" w:hAnsi="Times New Roman" w:cs="Times New Roman"/>
      <w:b/>
      <w:bCs/>
      <w:kern w:val="36"/>
      <w:sz w:val="48"/>
      <w:szCs w:val="48"/>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949438">
      <w:bodyDiv w:val="1"/>
      <w:marLeft w:val="0"/>
      <w:marRight w:val="0"/>
      <w:marTop w:val="0"/>
      <w:marBottom w:val="0"/>
      <w:divBdr>
        <w:top w:val="none" w:sz="0" w:space="0" w:color="auto"/>
        <w:left w:val="none" w:sz="0" w:space="0" w:color="auto"/>
        <w:bottom w:val="none" w:sz="0" w:space="0" w:color="auto"/>
        <w:right w:val="none" w:sz="0" w:space="0" w:color="auto"/>
      </w:divBdr>
      <w:divsChild>
        <w:div w:id="1132284640">
          <w:marLeft w:val="0"/>
          <w:marRight w:val="0"/>
          <w:marTop w:val="0"/>
          <w:marBottom w:val="0"/>
          <w:divBdr>
            <w:top w:val="none" w:sz="0" w:space="0" w:color="auto"/>
            <w:left w:val="none" w:sz="0" w:space="0" w:color="auto"/>
            <w:bottom w:val="none" w:sz="0" w:space="0" w:color="auto"/>
            <w:right w:val="none" w:sz="0" w:space="0" w:color="auto"/>
          </w:divBdr>
        </w:div>
      </w:divsChild>
    </w:div>
    <w:div w:id="296837362">
      <w:bodyDiv w:val="1"/>
      <w:marLeft w:val="0"/>
      <w:marRight w:val="0"/>
      <w:marTop w:val="0"/>
      <w:marBottom w:val="0"/>
      <w:divBdr>
        <w:top w:val="none" w:sz="0" w:space="0" w:color="auto"/>
        <w:left w:val="none" w:sz="0" w:space="0" w:color="auto"/>
        <w:bottom w:val="none" w:sz="0" w:space="0" w:color="auto"/>
        <w:right w:val="none" w:sz="0" w:space="0" w:color="auto"/>
      </w:divBdr>
    </w:div>
    <w:div w:id="540820941">
      <w:bodyDiv w:val="1"/>
      <w:marLeft w:val="0"/>
      <w:marRight w:val="0"/>
      <w:marTop w:val="0"/>
      <w:marBottom w:val="0"/>
      <w:divBdr>
        <w:top w:val="none" w:sz="0" w:space="0" w:color="auto"/>
        <w:left w:val="none" w:sz="0" w:space="0" w:color="auto"/>
        <w:bottom w:val="none" w:sz="0" w:space="0" w:color="auto"/>
        <w:right w:val="none" w:sz="0" w:space="0" w:color="auto"/>
      </w:divBdr>
    </w:div>
    <w:div w:id="730425174">
      <w:bodyDiv w:val="1"/>
      <w:marLeft w:val="0"/>
      <w:marRight w:val="0"/>
      <w:marTop w:val="0"/>
      <w:marBottom w:val="0"/>
      <w:divBdr>
        <w:top w:val="none" w:sz="0" w:space="0" w:color="auto"/>
        <w:left w:val="none" w:sz="0" w:space="0" w:color="auto"/>
        <w:bottom w:val="none" w:sz="0" w:space="0" w:color="auto"/>
        <w:right w:val="none" w:sz="0" w:space="0" w:color="auto"/>
      </w:divBdr>
    </w:div>
    <w:div w:id="1247500810">
      <w:bodyDiv w:val="1"/>
      <w:marLeft w:val="0"/>
      <w:marRight w:val="0"/>
      <w:marTop w:val="0"/>
      <w:marBottom w:val="0"/>
      <w:divBdr>
        <w:top w:val="none" w:sz="0" w:space="0" w:color="auto"/>
        <w:left w:val="none" w:sz="0" w:space="0" w:color="auto"/>
        <w:bottom w:val="none" w:sz="0" w:space="0" w:color="auto"/>
        <w:right w:val="none" w:sz="0" w:space="0" w:color="auto"/>
      </w:divBdr>
    </w:div>
    <w:div w:id="1260412891">
      <w:bodyDiv w:val="1"/>
      <w:marLeft w:val="0"/>
      <w:marRight w:val="0"/>
      <w:marTop w:val="0"/>
      <w:marBottom w:val="0"/>
      <w:divBdr>
        <w:top w:val="none" w:sz="0" w:space="0" w:color="auto"/>
        <w:left w:val="none" w:sz="0" w:space="0" w:color="auto"/>
        <w:bottom w:val="none" w:sz="0" w:space="0" w:color="auto"/>
        <w:right w:val="none" w:sz="0" w:space="0" w:color="auto"/>
      </w:divBdr>
    </w:div>
    <w:div w:id="1274172105">
      <w:bodyDiv w:val="1"/>
      <w:marLeft w:val="0"/>
      <w:marRight w:val="0"/>
      <w:marTop w:val="0"/>
      <w:marBottom w:val="0"/>
      <w:divBdr>
        <w:top w:val="none" w:sz="0" w:space="0" w:color="auto"/>
        <w:left w:val="none" w:sz="0" w:space="0" w:color="auto"/>
        <w:bottom w:val="none" w:sz="0" w:space="0" w:color="auto"/>
        <w:right w:val="none" w:sz="0" w:space="0" w:color="auto"/>
      </w:divBdr>
    </w:div>
    <w:div w:id="1332484749">
      <w:bodyDiv w:val="1"/>
      <w:marLeft w:val="0"/>
      <w:marRight w:val="0"/>
      <w:marTop w:val="0"/>
      <w:marBottom w:val="0"/>
      <w:divBdr>
        <w:top w:val="none" w:sz="0" w:space="0" w:color="auto"/>
        <w:left w:val="none" w:sz="0" w:space="0" w:color="auto"/>
        <w:bottom w:val="none" w:sz="0" w:space="0" w:color="auto"/>
        <w:right w:val="none" w:sz="0" w:space="0" w:color="auto"/>
      </w:divBdr>
      <w:divsChild>
        <w:div w:id="187137645">
          <w:marLeft w:val="0"/>
          <w:marRight w:val="0"/>
          <w:marTop w:val="0"/>
          <w:marBottom w:val="0"/>
          <w:divBdr>
            <w:top w:val="none" w:sz="0" w:space="0" w:color="auto"/>
            <w:left w:val="none" w:sz="0" w:space="0" w:color="auto"/>
            <w:bottom w:val="none" w:sz="0" w:space="0" w:color="auto"/>
            <w:right w:val="none" w:sz="0" w:space="0" w:color="auto"/>
          </w:divBdr>
        </w:div>
      </w:divsChild>
    </w:div>
    <w:div w:id="1388139224">
      <w:bodyDiv w:val="1"/>
      <w:marLeft w:val="0"/>
      <w:marRight w:val="0"/>
      <w:marTop w:val="0"/>
      <w:marBottom w:val="0"/>
      <w:divBdr>
        <w:top w:val="none" w:sz="0" w:space="0" w:color="auto"/>
        <w:left w:val="none" w:sz="0" w:space="0" w:color="auto"/>
        <w:bottom w:val="none" w:sz="0" w:space="0" w:color="auto"/>
        <w:right w:val="none" w:sz="0" w:space="0" w:color="auto"/>
      </w:divBdr>
    </w:div>
    <w:div w:id="1534614983">
      <w:bodyDiv w:val="1"/>
      <w:marLeft w:val="0"/>
      <w:marRight w:val="0"/>
      <w:marTop w:val="0"/>
      <w:marBottom w:val="0"/>
      <w:divBdr>
        <w:top w:val="none" w:sz="0" w:space="0" w:color="auto"/>
        <w:left w:val="none" w:sz="0" w:space="0" w:color="auto"/>
        <w:bottom w:val="none" w:sz="0" w:space="0" w:color="auto"/>
        <w:right w:val="none" w:sz="0" w:space="0" w:color="auto"/>
      </w:divBdr>
    </w:div>
    <w:div w:id="1537040029">
      <w:bodyDiv w:val="1"/>
      <w:marLeft w:val="0"/>
      <w:marRight w:val="0"/>
      <w:marTop w:val="0"/>
      <w:marBottom w:val="0"/>
      <w:divBdr>
        <w:top w:val="none" w:sz="0" w:space="0" w:color="auto"/>
        <w:left w:val="none" w:sz="0" w:space="0" w:color="auto"/>
        <w:bottom w:val="none" w:sz="0" w:space="0" w:color="auto"/>
        <w:right w:val="none" w:sz="0" w:space="0" w:color="auto"/>
      </w:divBdr>
      <w:divsChild>
        <w:div w:id="491140219">
          <w:marLeft w:val="0"/>
          <w:marRight w:val="0"/>
          <w:marTop w:val="0"/>
          <w:marBottom w:val="0"/>
          <w:divBdr>
            <w:top w:val="none" w:sz="0" w:space="0" w:color="auto"/>
            <w:left w:val="none" w:sz="0" w:space="0" w:color="auto"/>
            <w:bottom w:val="none" w:sz="0" w:space="0" w:color="auto"/>
            <w:right w:val="none" w:sz="0" w:space="0" w:color="auto"/>
          </w:divBdr>
        </w:div>
      </w:divsChild>
    </w:div>
    <w:div w:id="1643997355">
      <w:bodyDiv w:val="1"/>
      <w:marLeft w:val="0"/>
      <w:marRight w:val="0"/>
      <w:marTop w:val="0"/>
      <w:marBottom w:val="0"/>
      <w:divBdr>
        <w:top w:val="none" w:sz="0" w:space="0" w:color="auto"/>
        <w:left w:val="none" w:sz="0" w:space="0" w:color="auto"/>
        <w:bottom w:val="none" w:sz="0" w:space="0" w:color="auto"/>
        <w:right w:val="none" w:sz="0" w:space="0" w:color="auto"/>
      </w:divBdr>
    </w:div>
    <w:div w:id="1821146085">
      <w:bodyDiv w:val="1"/>
      <w:marLeft w:val="0"/>
      <w:marRight w:val="0"/>
      <w:marTop w:val="0"/>
      <w:marBottom w:val="0"/>
      <w:divBdr>
        <w:top w:val="none" w:sz="0" w:space="0" w:color="auto"/>
        <w:left w:val="none" w:sz="0" w:space="0" w:color="auto"/>
        <w:bottom w:val="none" w:sz="0" w:space="0" w:color="auto"/>
        <w:right w:val="none" w:sz="0" w:space="0" w:color="auto"/>
      </w:divBdr>
      <w:divsChild>
        <w:div w:id="557671430">
          <w:marLeft w:val="0"/>
          <w:marRight w:val="0"/>
          <w:marTop w:val="0"/>
          <w:marBottom w:val="0"/>
          <w:divBdr>
            <w:top w:val="none" w:sz="0" w:space="0" w:color="auto"/>
            <w:left w:val="none" w:sz="0" w:space="0" w:color="auto"/>
            <w:bottom w:val="none" w:sz="0" w:space="0" w:color="auto"/>
            <w:right w:val="none" w:sz="0" w:space="0" w:color="auto"/>
          </w:divBdr>
        </w:div>
      </w:divsChild>
    </w:div>
    <w:div w:id="1857228107">
      <w:bodyDiv w:val="1"/>
      <w:marLeft w:val="0"/>
      <w:marRight w:val="0"/>
      <w:marTop w:val="0"/>
      <w:marBottom w:val="0"/>
      <w:divBdr>
        <w:top w:val="none" w:sz="0" w:space="0" w:color="auto"/>
        <w:left w:val="none" w:sz="0" w:space="0" w:color="auto"/>
        <w:bottom w:val="none" w:sz="0" w:space="0" w:color="auto"/>
        <w:right w:val="none" w:sz="0" w:space="0" w:color="auto"/>
      </w:divBdr>
    </w:div>
    <w:div w:id="1913194566">
      <w:bodyDiv w:val="1"/>
      <w:marLeft w:val="0"/>
      <w:marRight w:val="0"/>
      <w:marTop w:val="0"/>
      <w:marBottom w:val="0"/>
      <w:divBdr>
        <w:top w:val="none" w:sz="0" w:space="0" w:color="auto"/>
        <w:left w:val="none" w:sz="0" w:space="0" w:color="auto"/>
        <w:bottom w:val="none" w:sz="0" w:space="0" w:color="auto"/>
        <w:right w:val="none" w:sz="0" w:space="0" w:color="auto"/>
      </w:divBdr>
    </w:div>
    <w:div w:id="201877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pexels.com/it-it/foto/uomo-e-donna-che-trasportano-bambino-3038369/" TargetMode="External"/><Relationship Id="rId5" Type="http://schemas.openxmlformats.org/officeDocument/2006/relationships/hyperlink" Target="https://www.thelancet.com/journals/lanpub/article/PIIS2468-2667(24)00048-3/fulltex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272239-DD4C-471B-8ADD-5573A3F39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3</Pages>
  <Words>1133</Words>
  <Characters>6463</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Marina</dc:creator>
  <cp:lastModifiedBy>marina penasso</cp:lastModifiedBy>
  <cp:revision>21</cp:revision>
  <dcterms:created xsi:type="dcterms:W3CDTF">2024-06-11T08:35:00Z</dcterms:created>
  <dcterms:modified xsi:type="dcterms:W3CDTF">2024-06-11T15:14:00Z</dcterms:modified>
</cp:coreProperties>
</file>